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2299335</wp:posOffset>
            </wp:positionH>
            <wp:positionV relativeFrom="paragraph">
              <wp:posOffset>-542925</wp:posOffset>
            </wp:positionV>
            <wp:extent cx="1591310" cy="159131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Nishnabotna Water Defenders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 Release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 w:val="false"/>
          <w:bCs w:val="false"/>
          <w:sz w:val="24"/>
          <w:szCs w:val="24"/>
        </w:rPr>
        <w:t xml:space="preserve">           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From: Nishnabotna Water Defenders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Re: Attorney General Brenna Bird’s Settlement with NEW Coop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Contact: Jodi Reese 402-669-2505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Date: July 31, 2025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</w:t>
      </w:r>
    </w:p>
    <w:p>
      <w:pPr>
        <w:pStyle w:val="Normal"/>
        <w:bidi w:val="0"/>
        <w:jc w:val="start"/>
        <w:rPr/>
      </w:pPr>
      <w:r>
        <w:rPr/>
        <w:t xml:space="preserve">In March 2024 265,000 gallons of liquid nitrogen spewed into the East Nishnabotna River from a </w:t>
      </w:r>
      <w:r>
        <w:rPr/>
        <w:t xml:space="preserve">non-monitored </w:t>
      </w:r>
      <w:r>
        <w:rPr/>
        <w:t xml:space="preserve">tank at the NEW Coop </w:t>
      </w:r>
      <w:r>
        <w:rPr/>
        <w:t>in Red Oak, Iowa</w:t>
      </w:r>
      <w:r>
        <w:rPr/>
        <w:t xml:space="preserve">. The historic spill traveled 50 miles down the river and killed approximately 750,000 fish. The cost of </w:t>
      </w:r>
      <w:r>
        <w:rPr/>
        <w:t xml:space="preserve">only </w:t>
      </w:r>
      <w:r>
        <w:rPr/>
        <w:t xml:space="preserve">the fish kill </w:t>
      </w:r>
      <w:r>
        <w:rPr/>
        <w:t xml:space="preserve">was </w:t>
      </w:r>
      <w:r>
        <w:rPr/>
        <w:t xml:space="preserve">estimated to be $225,000.00. </w:t>
      </w:r>
      <w:r>
        <w:rPr/>
        <w:t xml:space="preserve">This dollar amount does not include other wildlife that suffered the consequences of this catastrophe. 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The Nishnabotna Water Defenders, a nonprofit based in southwest Iowa, are disappointed that the settlement </w:t>
      </w:r>
      <w:r>
        <w:rPr>
          <w:b w:val="false"/>
          <w:bCs w:val="false"/>
          <w:sz w:val="24"/>
          <w:szCs w:val="24"/>
        </w:rPr>
        <w:t>issued by</w:t>
      </w:r>
      <w:r>
        <w:rPr>
          <w:b w:val="false"/>
          <w:bCs w:val="false"/>
          <w:sz w:val="24"/>
          <w:szCs w:val="24"/>
        </w:rPr>
        <w:t xml:space="preserve"> Iowa Attorney General Brenna Bird </w:t>
      </w:r>
      <w:r>
        <w:rPr>
          <w:b w:val="false"/>
          <w:bCs w:val="false"/>
          <w:sz w:val="24"/>
          <w:szCs w:val="24"/>
        </w:rPr>
        <w:t xml:space="preserve">with no public input represents a </w:t>
      </w:r>
      <w:r>
        <w:rPr>
          <w:b w:val="false"/>
          <w:bCs w:val="false"/>
          <w:sz w:val="24"/>
          <w:szCs w:val="24"/>
        </w:rPr>
        <w:t xml:space="preserve">slap on the wrist to NEW Coop. </w:t>
      </w:r>
      <w:r>
        <w:rPr>
          <w:b w:val="false"/>
          <w:bCs w:val="false"/>
          <w:sz w:val="24"/>
          <w:szCs w:val="24"/>
        </w:rPr>
        <w:t xml:space="preserve">This settlement does not require the coop to implement any new measures that will prevent future contamination.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New Coop controls 82 operating locations in Iowa and Missouri and is said to be the eleventh largest ag retailer in the United States. </w:t>
      </w:r>
      <w:r>
        <w:rPr>
          <w:b w:val="false"/>
          <w:bCs w:val="false"/>
          <w:sz w:val="24"/>
          <w:szCs w:val="24"/>
        </w:rPr>
        <w:t xml:space="preserve">The settlement comes without any input from the public and comes 16 months after the tragic spill occurred.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“</w:t>
      </w:r>
      <w:r>
        <w:rPr>
          <w:b w:val="false"/>
          <w:bCs w:val="false"/>
          <w:sz w:val="24"/>
          <w:szCs w:val="24"/>
        </w:rPr>
        <w:t xml:space="preserve">The settlement signifies the lack of respect that our Attorney General has for Iowa’s people, the land and the wildlife.” states Terry Langan, Co-Chair of the Nishnabotna Water Defenders. “To put a price of $100,000 on a loss that will be felt for decades, is a total disregard for the importance </w:t>
      </w:r>
      <w:r>
        <w:rPr>
          <w:b w:val="false"/>
          <w:bCs w:val="false"/>
          <w:sz w:val="24"/>
          <w:szCs w:val="24"/>
        </w:rPr>
        <w:t>o</w:t>
      </w:r>
      <w:r>
        <w:rPr>
          <w:b w:val="false"/>
          <w:bCs w:val="false"/>
          <w:sz w:val="24"/>
          <w:szCs w:val="24"/>
        </w:rPr>
        <w:t xml:space="preserve">f Iowa’s waterways.” </w:t>
      </w:r>
      <w:r>
        <w:rPr>
          <w:b w:val="false"/>
          <w:bCs w:val="false"/>
          <w:sz w:val="24"/>
          <w:szCs w:val="24"/>
        </w:rPr>
        <w:t>The fine does not</w:t>
      </w:r>
      <w:r>
        <w:rPr>
          <w:b w:val="false"/>
          <w:bCs w:val="false"/>
          <w:sz w:val="24"/>
          <w:szCs w:val="24"/>
        </w:rPr>
        <w:t xml:space="preserve"> even reco</w:t>
      </w:r>
      <w:r>
        <w:rPr>
          <w:b w:val="false"/>
          <w:bCs w:val="false"/>
          <w:sz w:val="24"/>
          <w:szCs w:val="24"/>
        </w:rPr>
        <w:t>up</w:t>
      </w:r>
      <w:r>
        <w:rPr>
          <w:b w:val="false"/>
          <w:bCs w:val="false"/>
          <w:sz w:val="24"/>
          <w:szCs w:val="24"/>
        </w:rPr>
        <w:t xml:space="preserve"> the cost of the investigation </w:t>
      </w:r>
      <w:r>
        <w:rPr>
          <w:b w:val="false"/>
          <w:bCs w:val="false"/>
          <w:sz w:val="24"/>
          <w:szCs w:val="24"/>
        </w:rPr>
        <w:t>following the liquid nitrogen incident.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The lack of significant repercussions to this </w:t>
      </w:r>
      <w:r>
        <w:rPr>
          <w:b w:val="false"/>
          <w:bCs w:val="false"/>
          <w:sz w:val="24"/>
          <w:szCs w:val="24"/>
        </w:rPr>
        <w:t>travesty</w:t>
      </w:r>
      <w:r>
        <w:rPr>
          <w:b w:val="false"/>
          <w:bCs w:val="false"/>
          <w:sz w:val="24"/>
          <w:szCs w:val="24"/>
        </w:rPr>
        <w:t xml:space="preserve"> and the significance of Iowa’s water pollution has led the Nishnabotna Water Defenders to organize training and education</w:t>
      </w:r>
      <w:r>
        <w:rPr>
          <w:b w:val="false"/>
          <w:bCs w:val="false"/>
          <w:sz w:val="24"/>
          <w:szCs w:val="24"/>
        </w:rPr>
        <w:t>al</w:t>
      </w:r>
      <w:r>
        <w:rPr>
          <w:b w:val="false"/>
          <w:bCs w:val="false"/>
          <w:sz w:val="24"/>
          <w:szCs w:val="24"/>
        </w:rPr>
        <w:t xml:space="preserve"> opportunities for citizens to </w:t>
      </w:r>
      <w:r>
        <w:rPr>
          <w:b w:val="false"/>
          <w:bCs w:val="false"/>
          <w:sz w:val="24"/>
          <w:szCs w:val="24"/>
        </w:rPr>
        <w:t>monitor</w:t>
      </w:r>
      <w:r>
        <w:rPr>
          <w:b w:val="false"/>
          <w:bCs w:val="false"/>
          <w:sz w:val="24"/>
          <w:szCs w:val="24"/>
        </w:rPr>
        <w:t xml:space="preserve"> local rivers and streams for nitrates. </w:t>
      </w:r>
      <w:r>
        <w:rPr>
          <w:b w:val="false"/>
          <w:bCs w:val="false"/>
          <w:sz w:val="24"/>
          <w:szCs w:val="24"/>
        </w:rPr>
        <w:t>NWD believes that water is sacred and must be treated with respect.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######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>
      <w:pPr>
        <w:pStyle w:val="BodyText"/>
        <w:bidi w:val="0"/>
        <w:spacing w:before="0" w:after="140"/>
        <w:jc w:val="start"/>
        <w:rPr>
          <w:b w:val="false"/>
          <w:bCs w:val="false"/>
          <w:sz w:val="24"/>
          <w:szCs w:val="24"/>
        </w:rPr>
      </w:pPr>
      <w:r>
        <w:rPr>
          <w:rFonts w:ascii="Newsreader;serif" w:hAnsi="Newsreader;serif"/>
          <w:b w:val="false"/>
          <w:bCs w:val="false"/>
          <w:i w:val="false"/>
          <w:sz w:val="30"/>
          <w:szCs w:val="24"/>
        </w:rPr>
        <w:t xml:space="preserve">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Newsreader">
    <w:altName w:val="serif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LibreOffice/25.2.3.1$Windows_X86_64 LibreOffice_project/d8d1af5f77df955194e52baabe19324532ac8e8b</Application>
  <AppVersion>15.0000</AppVersion>
  <Pages>1</Pages>
  <Words>307</Words>
  <Characters>1610</Characters>
  <CharactersWithSpaces>2155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2025-07-31T08:11:01Z</dcterms:created>
  <dc:creator/>
  <dc:description/>
  <dc:language>en-US</dc:language>
  <cp:lastModifiedBy/>
  <cp:lastPrinted>2025-07-31T17:33:54Z</cp:lastPrinted>
  <dcterms:modified xsi:type="dcterms:W3CDTF">2025-07-31T17:47:02Z</dcterms:modified>
  <cp:revision>4</cp:revision>
  <dc:subject/>
  <dc:title/>
</cp:coreProperties>
</file>